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BayKlinFbV (Bayern) — In-Kraft-Treten</w:t>
      </w:r>
    </w:p>
    <w:p>
      <w:r>
        <w:rPr>
          <w:color w:val="555555"/>
          <w:sz w:val="18"/>
        </w:rPr>
        <w:t xml:space="preserve">Verordnung zur Regelung der Mitgliedschaft der Leiter von klinischen Einrichtungen in den Fakultätsräten der medizinischen und tiermedizinischen Fakultäten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2000 in Kraft.</w:t>
      </w:r>
    </w:p>
    <w:p>
      <w:r>
        <w:rPr>
          <w:color w:val="555555"/>
          <w:sz w:val="17"/>
        </w:rPr>
        <w:t xml:space="preserve">Zitiervorschlag: § 7 BayKlinFbV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https://recht.nulegal.eu/gesetze/BayKlinFbV/7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