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BayKlimaG (Bayern) — Förderung der Kommunen</w:t>
      </w:r>
    </w:p>
    <w:p>
      <w:r>
        <w:rPr>
          <w:color w:val="555555"/>
          <w:sz w:val="18"/>
        </w:rPr>
        <w:t xml:space="preserve">Bayerisches Klimaschutzgesetz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Freistaat Bayern unterstützt die kommunalen Gebietskörperschaften mit Förderprogrammen bei der Erreichung der Minderungsziele.</w:t>
      </w:r>
    </w:p>
    <w:p>
      <w:r>
        <w:t xml:space="preserve">(2) Der Freistaat Bayern unterstützt bis 2028 zudem die kommunal getragenen Klima- und Energieagenturen in ihren Tätigkeiten, die kommunalen Gebietskörperschaften auf dem Weg zur Klimaneutralität beratend zu begleiten.</w:t>
      </w:r>
    </w:p>
    <w:p>
      <w:r>
        <w:rPr>
          <w:color w:val="555555"/>
          <w:sz w:val="17"/>
        </w:rPr>
        <w:t xml:space="preserve">Zitiervorschlag: Art 8 BayKlimaG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https://recht.nulegal.eu/gesetze/BayKlimaG/8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