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BayKlimaG (Bayern) — Minderungsziele</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CO 2 -Äquivalent der Treibhausgasemissionen je Einwohner soll bis zum Jahr 2030 um mindestens 65 % gesenkt werden, bezogen auf den Durchschnitt des Jahres 1990. Der Koordinierungsstab nach Art. 13 hat bei Hinweisen auf das Verfehlen der Zielmarke nach Satz 1 im Jahr 2025 dem Ministerrat zusätzliche steuernde Maßnahmen vorzuschlagen.</w:t>
      </w:r>
    </w:p>
    <w:p>
      <w:r>
        <w:t xml:space="preserve">(2) Spätestens bis zum Jahr 2040 soll Bayern klimaneutral sein.</w:t>
      </w:r>
    </w:p>
    <w:p>
      <w:r>
        <w:t xml:space="preserve">(3) Jeder soll nach seinen Möglichkeiten zur Verwirklichung der Minderungsziele beitragen. Die staatlichen Behörden unterstützen die Verwirklichung der Minderungsziele im Rahmen ihrer hoheitlichen Tätigkeit.</w:t>
      </w:r>
    </w:p>
    <w:p>
      <w:r>
        <w:t xml:space="preserve">(4) Treibhausgase im Sinne dieses Gesetzes sind die in Anhang V Teil 2 der Verordnung (EU) 2018/1999 genannten Stoffe, die in Bayern emittiert werden.</w:t>
      </w:r>
    </w:p>
    <w:p>
      <w:r>
        <w:t xml:space="preserve">(5) Bei der Verwirklichung der Minderungsziele kommt der Energieeinsparung, der effizienten Bereitstellung, Umwandlung, Nutzung und Speicherung von Energie, dem Ausbau erneuerbarer Energien, dem energie- und ressourcenschonenden Einsatz der Informations- und Kommunikationstechnik und digitaler Instrumente sowie der Modernisierung des Verkehrssektors und der energetischen Sanierung des Gebäudebestands besondere Bedeutung zu. Die Errichtung und der Betrieb von Anlagen zur Erzeugung von erneuerbaren Energien sowie den dazugehörigen Nebenanlagen liegen im überragenden öffentlichen Interesse und dienen der öffentlichen Sicherheit.</w:t>
      </w:r>
    </w:p>
    <w:p>
      <w:r>
        <w:rPr>
          <w:color w:val="555555"/>
          <w:sz w:val="17"/>
        </w:rPr>
        <w:t xml:space="preserve">Zitiervorschlag: Art 2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