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BayKleinGV (Bayern)</w:t>
      </w:r>
    </w:p>
    <w:p>
      <w:r>
        <w:rPr>
          <w:color w:val="555555"/>
          <w:sz w:val="18"/>
        </w:rPr>
        <w:t xml:space="preserve">Verordnung zur Kleinsiedlung und Bereitstellung von Kleingärten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29 des Reichssiedlungsgesetzes findet auf die Bereitstellung von Kleingärten entsprechende Anwendung.</w:t>
      </w:r>
    </w:p>
    <w:p>
      <w:r>
        <w:t xml:space="preserve">[Amtl. Anm.:] BayRS 2331-1-F, BGBl. FN 2331-1</w:t>
      </w:r>
    </w:p>
    <w:p>
      <w:r>
        <w:rPr>
          <w:color w:val="555555"/>
          <w:sz w:val="17"/>
        </w:rPr>
        <w:t xml:space="preserve">Zitiervorschlag: Art 4 BayKleinGV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https://recht.nulegal.eu/gesetze/BayKleinGV/4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