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9b BayKiBiG (Bayern) — Kinderschutz</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der nach diesem Gesetz geförderten Einrichtungen haben sicherzustellen, dass</w:t>
      </w:r>
    </w:p>
    <w:p>
      <w:r>
        <w:t xml:space="preserve">1. deren Fachkräfte bei Bekanntwerden gewichtiger Anhaltspunkte für die Gefährdung eines von ihnen betreuten Kindes oder Jugendlichen eine Gefährdungseinschätzung vornehmen,</w:t>
      </w:r>
    </w:p>
    <w:p>
      <w:r>
        <w:t xml:space="preserve">2. bei der Gefährdungseinschätzung eine insoweit erfahrene Fachkraft beratend hinzugezogen wird,</w:t>
      </w:r>
    </w:p>
    <w:p>
      <w:r>
        <w:t xml:space="preserve">3. die Eltern sowie das Kind oder der Jugendliche in die Gefährdungseinschätzung einbezogen werden, soweit hierdurch der wirksame Schutz des Kindes oder Jugendlichen nicht in Frage gestellt wird.</w:t>
      </w:r>
    </w:p>
    <w:p>
      <w:r>
        <w:t xml:space="preserve">Insbesondere haben die Träger dafür Sorge zu tragen, dass die Fachkräfte bei den Eltern auf die Inanspruchnahme von Hilfen hinwirken, wenn sie diese für erforderlich halten, und das Jugendamt informieren, falls die Gefährdung nicht anders abgewendet werden kann.</w:t>
      </w:r>
    </w:p>
    <w:p>
      <w:r>
        <w:t xml:space="preserve">(2) Bei der Anmeldung zum Besuch einer Kindertageseinrichtung oder bei Aufnahme eines Kindes in die Tagespflege haben die Eltern eine Bestätigung der Teilnahme des Kindes an der letzten fälligen altersentsprechenden Früherkennungsuntersuchung vorzulegen. Die Nichtvorlage einer Bestätigung ist für die Förderung nach diesem Gesetz unschädlich. Der Träger ist verpflichtet, schriftlich festzuhalten, ob vonseiten der Eltern ein derartiger Nachweis vorgelegt wurde.</w:t>
      </w:r>
    </w:p>
    <w:p>
      <w:r>
        <w:rPr>
          <w:color w:val="555555"/>
          <w:sz w:val="17"/>
        </w:rPr>
        <w:t xml:space="preserve">Zitiervorschlag: Art 9b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https://recht.nulegal.eu/gesetze/BayKiBiG/9b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