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BayKiBiG (Bayern) — Sicherstellung eines ausreichenden Betreuungsangebots</w:t>
      </w:r>
    </w:p>
    <w:p>
      <w:r>
        <w:rPr>
          <w:color w:val="555555"/>
          <w:sz w:val="18"/>
        </w:rPr>
        <w:t xml:space="preserve">Bayerisches Kinderbildungs- und -betreuungsgesetz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Gemeinden sollen im eigenen Wirkungskreis und in den Grenzen ihrer Leistungsfähigkeit gewährleisten, dass die nach der Bedarfsfeststellung (Art. 7) notwendigen Plätze in Kindertageseinrichtungen und in Tagespflege rechtzeitig zur Verfügung stehen.</w:t>
      </w:r>
    </w:p>
    <w:p>
      <w:r>
        <w:t xml:space="preserve">(2) Soweit Plätze in einer Kindertageseinrichtung notwendig sind, um den Bedarf aus mehreren Gemeinden zu decken, sollen die betreffenden Gemeinden diese Aufgabe im Weg kommunaler Zusammenarbeit erfüllen.</w:t>
      </w:r>
    </w:p>
    <w:p>
      <w:r>
        <w:t xml:space="preserve">(3) Die Aufgaben des örtlichen Trägers der öffentlichen Jugendhilfe bleiben unberührt.</w:t>
      </w:r>
    </w:p>
    <w:p>
      <w:r>
        <w:rPr>
          <w:color w:val="555555"/>
          <w:sz w:val="17"/>
        </w:rPr>
        <w:t xml:space="preserve">Zitiervorschlag: Art 5 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https://recht.nulegal.eu/gesetze/BayKiBiG/5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