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BayKiBiG (Bayern) — Allgemeine Grundsätze</w:t>
      </w:r>
    </w:p>
    <w:p>
      <w:r>
        <w:rPr>
          <w:color w:val="555555"/>
          <w:sz w:val="18"/>
        </w:rPr>
        <w:t xml:space="preserve">Bayerisches Kinderbildungs- und -betreuungsgesetz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Bildung, Erziehung und Betreuung von Kindern liegt in der vorrangigen Verantwortung der Eltern; Eltern im Sinn dieses Gesetzes sind die jeweiligen Personensorgeberechtigten. Die Kindertageseinrichtungen und die Tagespflege ergänzen und unterstützen die Eltern hierbei. Das pädagogische Personal hat die erzieherischen Entscheidungen der Eltern zu achten.</w:t>
      </w:r>
    </w:p>
    <w:p>
      <w:r>
        <w:t xml:space="preserve">(2) Die örtlichen Träger der öffentlichen Jugendhilfe (Landkreise und kreisfreie Städte) und die Gemeinden sollen mit der freien Jugendhilfe unter Achtung ihrer Selbstständigkeit partnerschaftlich zusammenarbeiten. Gleiches gilt für die Zusammenarbeit mit den überörtlichen Sozialhilfeträgern bei integrativen Kindertageseinrichtungen.</w:t>
      </w:r>
    </w:p>
    <w:p>
      <w:r>
        <w:t xml:space="preserve">(3) Soweit Kindertageseinrichtungen in gleichermaßen geeigneter Weise wie von einem kommunalen Träger auch von freigemeinnützigen Trägern betrieben werden oder rechtzeitig geschaffen werden können, sollen die Gemeinden und die Träger der öffentlichen Jugendhilfe von eigenen Maßnahmen absehen.</w:t>
      </w:r>
    </w:p>
    <w:p>
      <w:r>
        <w:rPr>
          <w:color w:val="555555"/>
          <w:sz w:val="17"/>
        </w:rPr>
        <w:t xml:space="preserve">Zitiervorschlag: Art 4 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https://recht.nulegal.eu/gesetze/BayKiBiG/4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