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BayKiBiG (Bayern) — Ausführungsverordnung</w:t>
      </w:r>
    </w:p>
    <w:p>
      <w:r>
        <w:rPr>
          <w:color w:val="555555"/>
          <w:sz w:val="18"/>
        </w:rPr>
        <w:t xml:space="preserve">Bayerisches Kinderbildungs- und -betreuungsgesetz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wird ermächtigt, durch Rechtsverordnung</w:t>
      </w:r>
    </w:p>
    <w:p>
      <w:r>
        <w:t xml:space="preserve">1. die Bildungs- und Erziehungsziele für förderfähige Kindertageseinrichtungen (Art. 13) und Näheres der Bildungs- und Erziehungsarbeit einschließlich zur Durchführung von Sprachstandserhebungen sowie zur Zusammenarbeit mit der Grundschule (Art. 15),</w:t>
      </w:r>
    </w:p>
    <w:p>
      <w:r>
        <w:t xml:space="preserve">2. den Anstellungsschlüssel, der Zahl und Qualifikation des erforderlichen Personals in Abhängigkeit von den betreuten Kindern festlegt,</w:t>
      </w:r>
    </w:p>
    <w:p>
      <w:r>
        <w:t xml:space="preserve">3. Näheres über die zusätzlichen Leistungen nach Art. 20 Satz 1 Nr. 4 und Art. 23,</w:t>
      </w:r>
    </w:p>
    <w:p>
      <w:r>
        <w:t xml:space="preserve">4. das Abrechnungsverfahren, die Festlegung von Stundenkategorien durch Buchungszeitfaktoren (Art. 21 Abs. 2 und 4) und das Verfahren bei Elternbeitragsfreiheit,</w:t>
      </w:r>
    </w:p>
    <w:p>
      <w:r>
        <w:t xml:space="preserve">5. die Bestimmung der Bereiche im Sinn des Art. 24 Satz 2 sowie der zum Stichtag 31. Juli 2005 bestehenden, staatlich geförderten Gruppen in Netzen für Kinder,</w:t>
      </w:r>
    </w:p>
    <w:p>
      <w:r>
        <w:t xml:space="preserve">6. den Zeitpunkt, zu dem für die Förderung maßgebliche Veränderungen wirksam werden, und</w:t>
      </w:r>
    </w:p>
    <w:p>
      <w:r>
        <w:t xml:space="preserve">7. Näheres über den Landeselternbeirat nach Art. 14a – insbesondere zu Auswahl, Berufung und Abberufung der Mitglieder und stellvertretenden Mitglieder –</w:t>
      </w:r>
    </w:p>
    <w:p>
      <w:r>
        <w:t xml:space="preserve">festzulegen. Vor Erlass der Ausführungsverordnung sind die Spitzenverbände der freigemeinnützigen Träger, Vertreter der freien und gewerblichen Träger, die kommunalen Spitzenverbände und der Landeselternbeirat zu hören. Für Festlegungen nach Satz 1 Nr. 3 hinsichtlich zusätzlicher Leistungen nach Art. 23 und für Festlegungen nach Satz 1 Nr. 4 ist Einvernehmen mit dem Staatsministerium der Finanzen und für Heimat herzustellen.</w:t>
      </w:r>
    </w:p>
    <w:p>
      <w:r>
        <w:rPr>
          <w:color w:val="555555"/>
          <w:sz w:val="17"/>
        </w:rPr>
        <w:t xml:space="preserve">Zitiervorschlag: Art 32 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https://recht.nulegal.eu/gesetze/BayKiBiG/32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