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BayKiBiG (Bayern) — Erhebung, Verarbeitung und Nutzung von Daten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Erhebung, Verarbeitung und Nutzung von personenbezogenen Daten ist zulässig, wenn dies zur Erfüllung einer Aufgabe oder für eine Förderung nach diesem Gesetz erforderlich ist oder der Betroffene eingewilligt hat.</w:t>
      </w:r>
    </w:p>
    <w:p>
      <w:r>
        <w:t xml:space="preserve">(2) Datenschutzrechtliche Regelungen in anderen Rechtsvorschriften bleiben unberührt.</w:t>
      </w:r>
    </w:p>
    <w:p>
      <w:r>
        <w:rPr>
          <w:color w:val="555555"/>
          <w:sz w:val="17"/>
        </w:rPr>
        <w:t xml:space="preserve">Zitiervorschlag: Art 30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