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29 BayKiBiG (Bayern) — Bewilligungsbehörden, sachliche Zuständigkeit</w:t>
      </w:r>
    </w:p>
    <w:p>
      <w:r>
        <w:rPr>
          <w:color w:val="555555"/>
          <w:sz w:val="18"/>
        </w:rPr>
        <w:t xml:space="preserve">Bayerisches Kinderbildungs- und -betreuungsgesetz</w:t>
      </w:r>
    </w:p>
    <w:p>
      <w:r>
        <w:rPr>
          <w:color w:val="555555"/>
          <w:sz w:val="18"/>
        </w:rPr>
        <w:t xml:space="preserve">Landesrecht Bayern</w:t>
      </w:r>
    </w:p>
    <w:p>
      <w:r>
        <w:rPr>
          <w:color w:val="555555"/>
          <w:sz w:val="18"/>
        </w:rPr>
        <w:t xml:space="preserve">Stand: 25.08.2026 (konsolidierte Textfassung, kein amtliches Inkrafttretensdatum)</w:t>
      </w:r>
    </w:p>
    <w:p>
      <w:r>
        <w:t xml:space="preserve">Bewilligungsbehörden für die staatliche Betriebskostenförderung an die kreisangehörigen Gemeinden sind die Kreisverwaltungsbehörden, für die staatliche Betriebskostenförderung an kreisfreie Gemeinden und die örtlichen Träger der öffentlichen Jugendhilfe sowie für die Finanzhilfen nach Art. 28 die Regierungen. Sachlich zuständig für die Wahrnehmung der Aufgaben nach § 45 SGB VIII und Art. 9 Abs. 1 sind die Kreisverwaltungsbehörden, im Fall von Kindertageseinrichtungen in Trägerschaft der kreisfreien Gemeinden und der Landkreise die Regierungen.</w:t>
      </w:r>
    </w:p>
    <w:p>
      <w:r>
        <w:rPr>
          <w:color w:val="555555"/>
          <w:sz w:val="17"/>
        </w:rPr>
        <w:t xml:space="preserve">Zitiervorschlag: Art 29 BayKiBiG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https://recht.nulegal.eu/gesetze/BayKiBiG/29</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