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22 BayKiBiG (Bayern) — Umfang des Förderanspruchs des Trägers einer Kindertageseinrichtung</w:t>
      </w:r>
    </w:p>
    <w:p>
      <w:r>
        <w:rPr>
          <w:color w:val="555555"/>
          <w:sz w:val="18"/>
        </w:rPr>
        <w:t xml:space="preserve">Bayerisches Kinderbildungs- und -betreuungsgesetz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Der Träger hat gegenüber den Gemeinden einen Anspruch in Höhe der staatlichen Förderung an die Gemeinden erhöht um einen Eigenanteil der Gemeinden. Der jährliche Eigenanteil der Gemeinde pro Kind errechnet sich als Produkt aus Basiswert ohne Erhöhung nach Art. 23 Abs. 1, Buchungszeit- und Gewichtungsfaktor.</w:t>
      </w:r>
    </w:p>
    <w:p>
      <w:r>
        <w:rPr>
          <w:color w:val="555555"/>
          <w:sz w:val="17"/>
        </w:rPr>
        <w:t xml:space="preserve">Zitiervorschlag: Art 22 BayKiBiG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https://recht.nulegal.eu/gesetze/BayKiBiG/22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