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20a BayKiBiG (Bayern) — Fördervoraussetzungen für die Großtagespflege</w:t>
      </w:r>
    </w:p>
    <w:p>
      <w:r>
        <w:rPr>
          <w:color w:val="555555"/>
          <w:sz w:val="18"/>
        </w:rPr>
        <w:t xml:space="preserve">Bayerisches Kinderbildungs- und -betreuungsgesetz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Förderanspruch der Gemeinde gegenüber dem Staat für Großtagespflege (Art. 9 Abs. 2, Art. 18 Abs. 2) setzt voraus, dass</w:t>
      </w:r>
    </w:p>
    <w:p>
      <w:r>
        <w:t xml:space="preserve">1. die Gemeinde eine Leistung in Höhe der staatlichen Förderung erhöht um einen gleich hohen Eigenanteil an den Träger der Großtagespflege erbringt,</w:t>
      </w:r>
    </w:p>
    <w:p>
      <w:r>
        <w:t xml:space="preserve">2. in der Großtagespflege mindestens eine pädagogische Fachkraft regelmäßig an mindestens vier Tagen und mindestens 20 Stunden die Woche tätig ist,</w:t>
      </w:r>
    </w:p>
    <w:p>
      <w:r>
        <w:t xml:space="preserve">3. die weiteren in der Großtagespflege tätigen Tagespflegepersonen, die nicht als pädagogische Fachkräfte anzusehen sind, erfolgreich an einer Qualifizierungsmaßnahme im Sinn des Art. 20 Satz 1 Nr. 1 im Umfang von 160 Stunden teilgenommen haben und</w:t>
      </w:r>
    </w:p>
    <w:p>
      <w:r>
        <w:t xml:space="preserve">4. in dem Fall, dass die Tagespflegepersonen zusätzlich einen Anspruch auf Tagespflegeentgelt gegen den örtlichen Träger der öffentlichen Jugendhilfe geltend machen, diese für die Inanspruchnahme der Großtagespflege keine Elternbeiträge erheben.</w:t>
      </w:r>
    </w:p>
    <w:p>
      <w:r>
        <w:t xml:space="preserve">Darüber hinaus müssen die Voraussetzungen der §§ 23 und 43 SGB VIII vorliegen. Art. 20 Satz 1 Nr. 3 gilt entsprechend.</w:t>
      </w:r>
    </w:p>
    <w:p>
      <w:r>
        <w:rPr>
          <w:color w:val="555555"/>
          <w:sz w:val="17"/>
        </w:rPr>
        <w:t xml:space="preserve">Zitiervorschlag: Art 20a BayKiBiG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https://recht.nulegal.eu/gesetze/BayKiBiG/20a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