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BayKiBiG (Bayern) — Grundsätze für die Bildungs- und Erziehungsarbeit in förderfähigen Kindertageseinrichtungen; Bildungs- und Erziehungsziele</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pädagogische Personal in förderfähigen Kindertageseinrichtungen hat die Kinder in ihrer Entwicklung zu eigenverantwortlichen und gemeinschaftsfähigen Persönlichkeiten zu unterstützen, mit dem Ziel, zusammen mit den Eltern den Kindern die hierzu notwendigen Basiskompetenzen zu vermitteln. Dazu zählen beispielsweise positives Selbstwertgefühl, Problemlösefähigkeit, lernmethodische Kompetenz, Verantwortungsübernahme sowie Kooperations- und Kommunikationsfähigkeit.</w:t>
      </w:r>
    </w:p>
    <w:p>
      <w:r>
        <w:t xml:space="preserve">(2) Das pädagogische Personal in förderfähigen Kindertageseinrichtungen hat die Kinder ganzheitlich zu bilden und zu erziehen. Der Entwicklungsverlauf des Kindes ist zu beachten.</w:t>
      </w:r>
    </w:p>
    <w:p>
      <w:r>
        <w:rPr>
          <w:color w:val="555555"/>
          <w:sz w:val="17"/>
        </w:rPr>
        <w:t xml:space="preserve">Zitiervorschlag: Art 13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