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BayKiBiG (Bayern) — Bildungs- und Erziehungsarbeit in Kindertageseinrichtungen für Kinder bei besonderen Bedarfslagen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 mit Behinderung und solche, die von einer Behinderung bedroht sind, sollen in einer Kindertageseinrichtung gemeinsam mit Kindern ohne Behinderung betreut und gefördert werden, um ihnen eine gleichberechtigte Teilhabe am gesellschaftlichen Leben zu ermöglichen.</w:t>
      </w:r>
    </w:p>
    <w:p>
      <w:r>
        <w:t xml:space="preserve">(2) Die Träger von Kindertageseinrichtungen fördern die sprachliche Entwicklung der Kinder von Anfang an und tragen hierbei den besonderen Anforderungen von Kindern aus Migrantenfamilien (Art. 5 des Bayerischen Integrationsgesetzes – BayIntG) und Kindern mit sonstigem Sprachförderbedarf Rechnung. Die Kindertageseinrichtungen sollen im Rahmen des Art. 6 BayIntG dazu beitragen, die Integrationsbereitschaft der Familien von Migrantinnen und Migranten zu fördern.</w:t>
      </w:r>
    </w:p>
    <w:p>
      <w:r>
        <w:rPr>
          <w:color w:val="555555"/>
          <w:sz w:val="17"/>
        </w:rPr>
        <w:t xml:space="preserve">Zitiervorschlag: Art 12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