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BayKelV (Bayern)</w:t>
      </w:r>
    </w:p>
    <w:p>
      <w:r>
        <w:rPr>
          <w:color w:val="555555"/>
          <w:sz w:val="18"/>
        </w:rPr>
        <w:t xml:space="preserve">Verordnung zur Übertragung von Aufgaben nach dem Bundesbaugesetz auf den Zweckverband zur Errichtung und zum Betrieb des Hafens Kelheim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Dem Zweckverband werden ferner die Aufgaben, Rechte und Befugnisse der Gemeinde</w:t>
      </w:r>
    </w:p>
    <w:p>
      <w:r>
        <w:t xml:space="preserve">1. zum Erlaß von Veränderungssperren und zur Zurückstellung von Baugesuchen (§§ 14 ff BBauG),</w:t>
      </w:r>
    </w:p>
    <w:p>
      <w:r>
        <w:t xml:space="preserve">2. zur Ausübung der gesetzlichen Vorkaufsrechte der Gemeinde (§§ 24 ff BBauG),</w:t>
      </w:r>
    </w:p>
    <w:p>
      <w:r>
        <w:t xml:space="preserve">3. zur Durchführung der Umlegung (§§ 45 ff BBauG) und</w:t>
      </w:r>
    </w:p>
    <w:p>
      <w:r>
        <w:t xml:space="preserve">4. zur Grenzregelung (§§ 80 ff BBauG)</w:t>
      </w:r>
    </w:p>
    <w:p>
      <w:r>
        <w:t xml:space="preserve">für den räumlichen Wirkungsbereich des Zweckverbandes übertragen.</w:t>
      </w:r>
    </w:p>
    <w:p>
      <w:r>
        <w:t xml:space="preserve">(2) Der Zweckverband tritt bei Enteignungen nach den §§ 85 ff BBauG an die Stelle der Gemeinden.</w:t>
      </w:r>
    </w:p>
    <w:p>
      <w:r>
        <w:rPr>
          <w:color w:val="555555"/>
          <w:sz w:val="17"/>
        </w:rPr>
        <w:t xml:space="preserve">Zitiervorschlag: § 2 BayKelV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https://recht.nulegal.eu/gesetze/BayKelV/2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