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BayKatFortGebG (Bayern) — Ergänzende Vorschriften</w:t>
      </w:r>
    </w:p>
    <w:p>
      <w:r>
        <w:rPr>
          <w:color w:val="555555"/>
          <w:sz w:val="18"/>
        </w:rPr>
        <w:t xml:space="preserve">Bayerisches Katasterfortführungs-Gebührengesetz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gelten die Vorschriften des GNotKG einschließlich derjenigen über Rechtsbehelfe auch für die Katasterfortführungsgebühr.</w:t>
      </w:r>
    </w:p>
    <w:p>
      <w:r>
        <w:rPr>
          <w:color w:val="555555"/>
          <w:sz w:val="17"/>
        </w:rPr>
        <w:t xml:space="preserve">Zitiervorschlag: Art 4 BayKatFortGebG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https://recht.nulegal.eu/gesetze/BayKatFortGebG/4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