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BayKatFortGebG (Bayern) — Fälligkeit</w:t>
      </w:r>
    </w:p>
    <w:p>
      <w:r>
        <w:rPr>
          <w:color w:val="555555"/>
          <w:sz w:val="18"/>
        </w:rPr>
        <w:t xml:space="preserve">Bayerisches Katasterfortführungs-Gebührengesetz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Katasterfortführungsgebühr wird mit der Gebühr für die Eintragung in das Grundbuch fällig. Sie wird von den Amtsgerichten zusammen mit der Gebühr für die Eintragung in das Grundbuch erhoben; dies gilt auch, wenn diese Gebühr als Vorschuß erhoben wird.</w:t>
      </w:r>
    </w:p>
    <w:p>
      <w:r>
        <w:rPr>
          <w:color w:val="555555"/>
          <w:sz w:val="17"/>
        </w:rPr>
        <w:t xml:space="preserve">Zitiervorschlag: Art 3 BayKatFortGebG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https://recht.nulegal.eu/gesetze/BayKatFortGebG/3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