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BayKatFortGebG (Bayern) — Katasterfortführungsgebühr</w:t>
      </w:r>
    </w:p>
    <w:p>
      <w:r>
        <w:rPr>
          <w:color w:val="555555"/>
          <w:sz w:val="18"/>
        </w:rPr>
        <w:t xml:space="preserve">Bayerisches Katasterfortführungs-Gebührengesetz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Übernahme von Veränderungen in den Eigentumsverhältnissen in das Liegenschaftskataster wird eine Gebühr (Katasterfortführungsgebühr) erhoben. Im übrigen ist die Fortführung des Liegenschaftskatasters kostenfrei. Die Erhebung von Benutzungsgebühren für die Übernahme von Vermessungsergebnissen in das Liegenschaftskataster bleibt unberührt.</w:t>
      </w:r>
    </w:p>
    <w:p>
      <w:r>
        <w:t xml:space="preserve">(2) Eine Katasterfortführungsgebühr wird nicht erhoben, wenn die Eintragung des der Fortführung des Liegenschaftskatasters zugrundeliegenden Vorgangs in das Grundbuch gebührenfrei erfolgt.</w:t>
      </w:r>
    </w:p>
    <w:p>
      <w:r>
        <w:t xml:space="preserve">(3) Die Katasterfortführungsgebühr beträgt 30 v. H. der Gebühr, die für die Eintragung des der Fortführung des Liegenschaftskatasters zugrunde liegenden Vorgangs in das Grundbuch geschuldet wird, jedoch mindestens fünf Euro. Centbeträge sind nach Maßgabe der Vorschriften aufzurunden, die für die Gebühren nach dem Gerichts- und Notarkostengesetz (GNotKG) gelten.</w:t>
      </w:r>
    </w:p>
    <w:p>
      <w:r>
        <w:rPr>
          <w:color w:val="555555"/>
          <w:sz w:val="17"/>
        </w:rPr>
        <w:t xml:space="preserve">Zitiervorschlag: Art 1 BayKatFortGebG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https://recht.nulegal.eu/gesetze/BayKatFortGebG/1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