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BayKSG (Bayern) — Inanspruchnahme Dritter</w:t>
      </w:r>
    </w:p>
    <w:p>
      <w:r>
        <w:rPr>
          <w:color w:val="555555"/>
          <w:sz w:val="18"/>
        </w:rPr>
        <w:t xml:space="preserve">Bayerisches Katastrophenschutzgesetz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Katastrophenschutzbehörde kann zur Katastrophenabwehr von jeder Person die Erbringung von Dienst-, Sach- und Werkleistungen verlangen sowie die Inanspruchnahme von Sachen anordnen. Art. 7 Abs. 4 gilt entsprechend.</w:t>
      </w:r>
    </w:p>
    <w:p>
      <w:r>
        <w:t xml:space="preserve">(2) Bei Gefahr in Verzug dürfen die eingesetzten Kräfte Sachen unmittelbar in Anspruch nehmen.</w:t>
      </w:r>
    </w:p>
    <w:p>
      <w:r>
        <w:rPr>
          <w:color w:val="555555"/>
          <w:sz w:val="17"/>
        </w:rPr>
        <w:t xml:space="preserve">Zitiervorschlag: Art 9 BayKSG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https://recht.nulegal.eu/gesetze/BayKSG/9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