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BayKSG (Bayern) — Feststellung des Vorliegens einer Katastrophe</w:t>
      </w:r>
    </w:p>
    <w:p>
      <w:r>
        <w:rPr>
          <w:color w:val="555555"/>
          <w:sz w:val="18"/>
        </w:rPr>
        <w:t xml:space="preserve">Bayerisches Katastrophenschutzgesetz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Katastrophenschutzbehörde stellt das Vorliegen und das Ende einer Katastrophe fest. Die Feststellung soll unverzüglich der Öffentlichkeit bekanntgegeben werden.</w:t>
      </w:r>
    </w:p>
    <w:p>
      <w:r>
        <w:t xml:space="preserve">(2) Die Katastrophenschutzbehörde hat die Aufsichtsbehörde und, soweit notwendig, auch die benachbarten Katastrophenschutzbehörden unverzüglich zu unterrichten.</w:t>
      </w:r>
    </w:p>
    <w:p>
      <w:r>
        <w:rPr>
          <w:color w:val="555555"/>
          <w:sz w:val="17"/>
        </w:rPr>
        <w:t xml:space="preserve">Zitiervorschlag: Art 4 BayKSG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https://recht.nulegal.eu/gesetze/BayKSG/4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