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BayKSG (Bayern) — Inkrafttreten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1997 in Kraft.</w:t>
      </w:r>
    </w:p>
    <w:p>
      <w:r>
        <w:t xml:space="preserve">(2) Abweichend von Absatz 1 tritt Art. 8 Abs. 1 am 1. Januar 1999 in Kraft.</w:t>
      </w:r>
    </w:p>
    <w:p>
      <w:r>
        <w:rPr>
          <w:color w:val="555555"/>
          <w:sz w:val="17"/>
        </w:rPr>
        <w:t xml:space="preserve">Zitiervorschlag: Art 22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