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BayKSG (Bayern) — Einschränkung von Grundrechten</w:t>
      </w:r>
    </w:p>
    <w:p>
      <w:r>
        <w:rPr>
          <w:color w:val="555555"/>
          <w:sz w:val="18"/>
        </w:rPr>
        <w:t xml:space="preserve">Bayerisches Katastrophenschutzgesetz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Recht auf körperliche Unversehrtheit, die Freiheit der Person, die Versammlungsfreiheit, die Freizügigkeit und die Unverletzlichkeit der Wohnung (Art. 2 Abs. 2 Sätze 1 und 2, Art. 8 Abs. 2, Art. 11, 13 des Grundgesetzes, Art. 102, 106 Abs. 3, Art. 109, 113 der Verfassung) können auf Grund dieses Gesetzes eingeschränkt werden.</w:t>
      </w:r>
    </w:p>
    <w:p>
      <w:r>
        <w:rPr>
          <w:color w:val="555555"/>
          <w:sz w:val="17"/>
        </w:rPr>
        <w:t xml:space="preserve">Zitiervorschlag: Art 21 BayKSG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https://recht.nulegal.eu/gesetze/BayKSG/21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