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BayKSG (Bayern) — Ordnungswidrigkeiten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Geldbuße bis zu fünftausend Euro kann belegt werden, wer vorsätzlich oder fahrlässig</w:t>
      </w:r>
    </w:p>
    <w:p>
      <w:r>
        <w:t xml:space="preserve">1. entgegen Art. 9 Abs. 1 Satz 1 oder Abs. 2 einer vollziehbaren Anordnung nicht, nicht richtig, nicht vollständig oder nicht rechtzeitig nachkommt oder deren Durchführung stört oder</w:t>
      </w:r>
    </w:p>
    <w:p>
      <w:r>
        <w:t xml:space="preserve">2. einer vollziehbaren Anordnung nach Art. 10 zuwiderhandelt.</w:t>
      </w:r>
    </w:p>
    <w:p>
      <w:r>
        <w:rPr>
          <w:color w:val="555555"/>
          <w:sz w:val="17"/>
        </w:rPr>
        <w:t xml:space="preserve">Zitiervorschlag: Art 20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