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BayKSG (Bayern) — Entschädigung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zu Dienst-, Sach- oder Werkleistungen nach Art. 9 herangezogen wird, die über verkehrsübliche Hilfeleistungen oder über die außerhalb dieses Gesetzes bestehenden Rechtspflichten hinausgehen, oder auf Grund von Maßnahmen nach Art. 9 oder 10 einen nicht zumutbaren Schaden erleidet, ist angemessen in Geld zu entschädigen, wenn er nicht anderweitig Ersatz zu erlangen vermag.</w:t>
      </w:r>
    </w:p>
    <w:p>
      <w:r>
        <w:t xml:space="preserve">(2) Zur Entschädigung verpflichtet ist der Träger der für die Katastrophenabwehr zuständigen Katastrophenschutzbehörde.</w:t>
      </w:r>
    </w:p>
    <w:p>
      <w:r>
        <w:t xml:space="preserve">(3) Im Fall der Tötung ist den Unterhaltsberechtigten in entsprechender Anwendung von § 844 Abs. 2 des Bürgerlichen Gesetzbuchs Entschädigung zu leisten.</w:t>
      </w:r>
    </w:p>
    <w:p>
      <w:r>
        <w:t xml:space="preserve">(4) Entschädigung nach den Absätzen 1 und 3 wird nur für Vermögensschäden gewährt. Dabei sind Vermögensvorteile, die aus der zur Entschädigung verpflichtenden Maßnahme zufließen, sowie ein mitwirkendes Verschulden von Berechtigten zu berücksichtigen.</w:t>
      </w:r>
    </w:p>
    <w:p>
      <w:r>
        <w:t xml:space="preserve">(5) Entsprechend den Absätzen 1 bis 4 kann Entschädigung gewährt werden, wenn jemand, ohne daß er nach Art. 9 in Anspruch genommen worden ist, Leistungen erbringt, die zur Katastrophenabwehr erforderlich sind.</w:t>
      </w:r>
    </w:p>
    <w:p>
      <w:r>
        <w:rPr>
          <w:color w:val="555555"/>
          <w:sz w:val="17"/>
        </w:rPr>
        <w:t xml:space="preserve">Zitiervorschlag: Art 14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