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BayKRegV (Bayern)</w:t>
      </w:r>
    </w:p>
    <w:p>
      <w:r>
        <w:rPr>
          <w:color w:val="555555"/>
          <w:sz w:val="18"/>
        </w:rPr>
        <w:t xml:space="preserve">Krebsregisterverordnung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26. März 2018</w:t>
      </w:r>
    </w:p>
    <w:p>
      <w:r>
        <w:t xml:space="preserve">Bayerisches Staatsministerium für Gesundheit und Pflege</w:t>
      </w:r>
    </w:p>
    <w:p>
      <w:r>
        <w:t xml:space="preserve">Melanie Huml, Staatsministerin</w:t>
      </w:r>
    </w:p>
    <w:p>
      <w:r>
        <w:rPr>
          <w:color w:val="555555"/>
          <w:sz w:val="17"/>
        </w:rPr>
        <w:t xml:space="preserve">Zitiervorschlag: Schlussformel BayKRegV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https://recht.nulegal.eu/gesetze/BayKRegV/schlussformel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