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BayKRegV (Bayern) — Datenaustausch mit dem Kinderkrebsregister</w:t>
      </w:r>
    </w:p>
    <w:p>
      <w:r>
        <w:rPr>
          <w:color w:val="555555"/>
          <w:sz w:val="18"/>
        </w:rPr>
        <w:t xml:space="preserve">Krebsregisterverordnung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Meldungen von Daten zu minderjährigen Personen mit einer Krebserkrankung werden von der Vertrauensstelle an das Deutsche Kinderkrebsregister am Institut für Medizinische Biometrie, Epidemiologie und Informatik an der Universitätsmedizin der Johannes Gutenberg-Universität Mainz (Kinderkrebsregister) weitergeleitet.</w:t>
      </w:r>
    </w:p>
    <w:p>
      <w:r>
        <w:t xml:space="preserve">(2) Die ZKFR ist berechtigt, einen Datenabgleich mit dem Kinderkrebsregister durchzuführen. Das Kinderkrebsregister übermittelt hierzu pseudonymisierte Datensätze an die Vertrauensstelle, worauf die Vertrauensstelle die Pseudonyme des Kinderkrebsregisters durch Kontrollnummern nach Art. 11 Abs. 1 Satz 2 BayKRegG ersetzt. Diese Daten werden der ZKFR zum Abgleich übermittelt. Soweit im Kinderkrebsregister eine Einwilligung zur Verlaufskontrolle vorliegt, erhält das Kinderkrebsregister nach der Durchführung des Abgleichs eine Rückmeldung zu Änderungen von Namen und Wohnort, eventuellen Zweittumoren und dem eventuellen Eintritt des Sterbefalls.</w:t>
      </w:r>
    </w:p>
    <w:p>
      <w:r>
        <w:rPr>
          <w:color w:val="555555"/>
          <w:sz w:val="17"/>
        </w:rPr>
        <w:t xml:space="preserve">Zitiervorschlag: § 8 BayKRegV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