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BayKRegV (Bayern) — Meldungen</w:t>
      </w:r>
    </w:p>
    <w:p>
      <w:r>
        <w:rPr>
          <w:color w:val="555555"/>
          <w:sz w:val="18"/>
        </w:rPr>
        <w:t xml:space="preserve">Krebsregisterverordnung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Meldung an das örtlich zuständige Regionalzentrum (§ 3 Abs. 1 Nr. 1) ist vollständig, wenn sie den für den Meldeanlass vorgesehenen Teil der onkologischen Basisdaten (Art. 3 Abs. 2 BayKRegG) sowie die Abrechnungsdaten (§ 9 Abs. 2 Satz 1) enthält. Bei Meldungen zum Meldeanlass „Pathologischer Befund“ sind Name und Anschrift der meldenden medizinischen Einheit anzugeben.</w:t>
      </w:r>
    </w:p>
    <w:p>
      <w:r>
        <w:t xml:space="preserve">(2) Jede medizinische Einheit meldet die von ihr erhobenen Daten zu Diagnose, pathologischen Befunden, Therapie und behandlungsrelevanten Änderungen im Krankheitsverlauf. Mehrfachmeldungen zum gleichen Meldeanlass mit zusätzlichen Merkmalen sind zulässig.</w:t>
      </w:r>
    </w:p>
    <w:p>
      <w:r>
        <w:t xml:space="preserve">(3) Folgende weitere Merkmale sollen von den medizinischen Einheiten neben den onkologischen Basisdaten gemeldet werden:</w:t>
      </w:r>
    </w:p>
    <w:p>
      <w:r>
        <w:t xml:space="preserve">1. organspezifische Module, die mit den Fachgesellschaften bereits abgestimmt wurden, jedoch noch nicht im Bundesanzeiger veröffentlicht sind, nach Beschluss des Beirats; der Beschluss ist in elektronisch abrufbarer Form zu veröffentlichen,</w:t>
      </w:r>
    </w:p>
    <w:p>
      <w:r>
        <w:t xml:space="preserve">2. die Nummer des Nachsorgekalenders der Bayerischen Landesärztekammer.</w:t>
      </w:r>
    </w:p>
    <w:p>
      <w:r>
        <w:t xml:space="preserve">(4) Die Meldungen sollen durch elektronische Datenübermittlung oder mit maschinell verwertbaren Datenträgern erfolgen. Bei Vorgaben der ZKFR zur Form der Meldungen ist der Beirat zu hören.</w:t>
      </w:r>
    </w:p>
    <w:p>
      <w:r>
        <w:rPr>
          <w:color w:val="555555"/>
          <w:sz w:val="17"/>
        </w:rPr>
        <w:t xml:space="preserve">Zitiervorschlag: § 5 BayKRegV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