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BayKRegV (Bayern) — Regionalzentren, Verarbeitung von Daten</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Zum Vollzug des BayKRegG unterhält das Landesamt für Gesundheit und Lebensmittelsicherheit folgende weitere Dienststellen:</w:t>
      </w:r>
    </w:p>
    <w:p>
      <w:r>
        <w:t xml:space="preserve">1. Regionalzentren mit folgender örtlicher Zuständigkeit:</w:t>
      </w:r>
    </w:p>
    <w:p>
      <w:r>
        <w:t xml:space="preserve">Buchst.</w:t>
      </w:r>
    </w:p>
    <w:p>
      <w:r>
        <w:t xml:space="preserve">Sitz</w:t>
      </w:r>
    </w:p>
    <w:p>
      <w:r>
        <w:t xml:space="preserve">Örtliche Zuständigkeit</w:t>
      </w:r>
    </w:p>
    <w:p>
      <w:r>
        <w:t xml:space="preserve">a)</w:t>
      </w:r>
    </w:p>
    <w:p>
      <w:r>
        <w:t xml:space="preserve">München</w:t>
      </w:r>
    </w:p>
    <w:p>
      <w:r>
        <w:t xml:space="preserve">Regierungsbezirk Oberbayern, Stadt und Landkreis Landshut,</w:t>
      </w:r>
    </w:p>
    <w:p>
      <w:r>
        <w:t xml:space="preserve">b)</w:t>
      </w:r>
    </w:p>
    <w:p>
      <w:r>
        <w:t xml:space="preserve">Regensburg</w:t>
      </w:r>
    </w:p>
    <w:p>
      <w:r>
        <w:t xml:space="preserve">Regierungsbezirke Niederbayern – ausgenommen Stadt und Landkreis Landshut – und Oberpfalz,</w:t>
      </w:r>
    </w:p>
    <w:p>
      <w:r>
        <w:t xml:space="preserve">c)</w:t>
      </w:r>
    </w:p>
    <w:p>
      <w:r>
        <w:t xml:space="preserve">Bayreuth</w:t>
      </w:r>
    </w:p>
    <w:p>
      <w:r>
        <w:t xml:space="preserve">Regierungsbezirk Oberfranken,</w:t>
      </w:r>
    </w:p>
    <w:p>
      <w:r>
        <w:t xml:space="preserve">d)</w:t>
      </w:r>
    </w:p>
    <w:p>
      <w:r>
        <w:t xml:space="preserve">Erlangen</w:t>
      </w:r>
    </w:p>
    <w:p>
      <w:r>
        <w:t xml:space="preserve">Regierungsbezirk Mittelfranken,</w:t>
      </w:r>
    </w:p>
    <w:p>
      <w:r>
        <w:t xml:space="preserve">e)</w:t>
      </w:r>
    </w:p>
    <w:p>
      <w:r>
        <w:t xml:space="preserve">Würzburg</w:t>
      </w:r>
    </w:p>
    <w:p>
      <w:r>
        <w:t xml:space="preserve">Regierungsbezirk Unterfranken,</w:t>
      </w:r>
    </w:p>
    <w:p>
      <w:r>
        <w:t xml:space="preserve">f)</w:t>
      </w:r>
    </w:p>
    <w:p>
      <w:r>
        <w:t xml:space="preserve">Augsburg</w:t>
      </w:r>
    </w:p>
    <w:p>
      <w:r>
        <w:t xml:space="preserve">Regierungsbezirk Schwaben,</w:t>
      </w:r>
    </w:p>
    <w:p>
      <w:r>
        <w:t xml:space="preserve">2. als Teil der Vertrauensstelle eine bayernweit tätige Servicestelle in Gemünden a. Main.</w:t>
      </w:r>
    </w:p>
    <w:p>
      <w:r>
        <w:t xml:space="preserve">(2) Die medizinischen Einheiten (Art. 3 Abs. 4 BayKRegG) melden an das örtlich zuständige Regionalzentrum.</w:t>
      </w:r>
    </w:p>
    <w:p>
      <w:r>
        <w:t xml:space="preserve">(3) Die Regionalzentren sind zuständig für die Prüfung der Meldungen auf Schlüssigkeit, Vollständigkeit und Doppelmeldungen. Sie berichtigen, soweit erforderlich, die Daten nach Rückfrage bei den meldenden medizinischen Einheiten in deren Auftrag. Sie arbeiten die Meldungen nur in die von der Vertrauensstelle zur Verfügung gestellten Datensätze ein. Sie legen neue Datensätze für Patienten an, die noch nicht in der Vertrauensstelle gespeichert sind.</w:t>
      </w:r>
    </w:p>
    <w:p>
      <w:r>
        <w:t xml:space="preserve">(4) In Fällen, die nur über Pathologiemeldungen bekannt sind, fordert das örtlich zuständige Regionalzentrum den die Untersuchung veranlassenden Arzt mithilfe der Identitätsdaten zur Meldung weiterer Angaben zu Diagnose, Therapie und Verlauf auf.</w:t>
      </w:r>
    </w:p>
    <w:p>
      <w:r>
        <w:t xml:space="preserve">(5) Die Regionalzentren werten die erlangten Daten in pseudonymisierter Form für Qualitätssicherungs- und Forschungszwecke zur Rückmeldung an die medizinischen Einheiten aus.</w:t>
      </w:r>
    </w:p>
    <w:p>
      <w:r>
        <w:rPr>
          <w:color w:val="555555"/>
          <w:sz w:val="17"/>
        </w:rPr>
        <w:t xml:space="preserve">Zitiervorschlag: § 3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