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BayKRegV (Bayern) — Datensicherheit</w:t>
      </w:r>
    </w:p>
    <w:p>
      <w:r>
        <w:rPr>
          <w:color w:val="555555"/>
          <w:sz w:val="18"/>
        </w:rPr>
        <w:t xml:space="preserve">Krebsregisterverordnung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automatisierten Verarbeitung der personenbezogenen Daten sind durch die krebsregisterführende Stelle insbesondere Maßnahmen schriftlich anzuordnen, die nach der Art des eingesetzten Verfahrens erforderlich sind, um die Einhaltung datenschutzrechtlicher Vorgaben zu gewährleisten.</w:t>
      </w:r>
    </w:p>
    <w:p>
      <w:r>
        <w:t xml:space="preserve">(2) Werden die personenbezogenen Daten nicht automatisiert verarbeitet, sind insbesondere Maßnahmen zu treffen, die den Zugriff Unbefugter bei der Bearbeitung, der Aufbewahrung, dem Transport und der Vernichtung verhindern.</w:t>
      </w:r>
    </w:p>
    <w:p>
      <w:r>
        <w:rPr>
          <w:color w:val="555555"/>
          <w:sz w:val="17"/>
        </w:rPr>
        <w:t xml:space="preserve">Zitiervorschlag: § 12 BayKRegV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