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BayKRegV (Bayern) — Aufbau und Aufgaben</w:t>
      </w:r>
    </w:p>
    <w:p>
      <w:r>
        <w:rPr>
          <w:color w:val="555555"/>
          <w:sz w:val="18"/>
        </w:rPr>
        <w:t xml:space="preserve">Krebsregisterverordnung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Krebsregister wird von folgenden Organisationseinheiten, die am Landesamt für Gesundheit und Lebensmittelsicherheit eingerichtet sind, geführt (krebsregisterführende Stelle):</w:t>
      </w:r>
    </w:p>
    <w:p>
      <w:r>
        <w:t xml:space="preserve">1. Vertrauensstelle (§ 2),</w:t>
      </w:r>
    </w:p>
    <w:p>
      <w:r>
        <w:t xml:space="preserve">2. Regionalzentren (§ 3) und</w:t>
      </w:r>
    </w:p>
    <w:p>
      <w:r>
        <w:t xml:space="preserve">3. Zentralstelle für Krebsfrüherkennung und Krebsregistrierung – ZKFR – (§ 4).</w:t>
      </w:r>
    </w:p>
    <w:p>
      <w:r>
        <w:t xml:space="preserve">(2) Die krebsregisterführende Stelle stellt die Daten in pseudonymisierter Form für Qualitätssicherungs- und Forschungszwecke bereit. Sie wirkt an der epidemiologischen Forschung, der Versorgungs- und der Ursachenforschung mit.</w:t>
      </w:r>
    </w:p>
    <w:p>
      <w:r>
        <w:rPr>
          <w:color w:val="555555"/>
          <w:sz w:val="17"/>
        </w:rPr>
        <w:t xml:space="preserve">Zitiervorschlag: § 1 BayKRegV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