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BayKRegG (Bayern) — Daten aus Verfahren zur Krebsfrüherkennung</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Im Rahmen von Verfahren zur Krebsfrüherkennung, die nach der Krebsfrüherkennungs-Richtlinie oder auf Grund anderer Rechtsvorschriften durchgeführt werden, darf das LGL</w:t>
      </w:r>
    </w:p>
    <w:p>
      <w:r>
        <w:t xml:space="preserve">1. pseudonymisierte Daten entgegennehmen, verarbeiten, nutzen und mit den Daten des Bayerischen Krebsregisters abgleichen und</w:t>
      </w:r>
    </w:p>
    <w:p>
      <w:r>
        <w:t xml:space="preserve">2. Daten aus dem Bayerischen Krebsregister oder Erkenntnisse, die im Rahmen von Nr. 1 gewonnen wurden, pseudonymisiert an die Stellen übermitteln, die für die Qualitätssicherung der Krebsfrüherkennungsverfahren zuständig sind oder die das Krebsfrüherkennungsverfahren durchführen, insbesondere zur Ermittlung von Fällen mit Verdacht auf eine im Zeitraum zwischen zwei Krebsfrüherkennungsuntersuchungen aufgetretene Krebserkrankung.</w:t>
      </w:r>
    </w:p>
    <w:p>
      <w:r>
        <w:rPr>
          <w:color w:val="555555"/>
          <w:sz w:val="17"/>
        </w:rPr>
        <w:t xml:space="preserve">Zitiervorschlag: Art 9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