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BayKRegG (Bayern) — Melderegisterabgleich</w:t>
      </w:r>
    </w:p>
    <w:p>
      <w:r>
        <w:rPr>
          <w:color w:val="555555"/>
          <w:sz w:val="18"/>
        </w:rPr>
        <w:t xml:space="preserve">Bayerisches Krebsregistergesetz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Fortschreibung und Berichtigung des Registers übermitteln die Einwohnermeldeämter über die Anstalt für Kommunale Datenverarbeitung in Bayern (AKDB) jährlich alle Daten zu Namensänderungen sowie Wegzügen und Todesfällen von Einwohnern unter Angabe des Datums und der zur Identifizierung des jeweiligen Einwohners erforderlichen Merkmale an das LGL. Im LGL wird ein pseudonymisierter Abgleich mit den nach Satz 1 übermittelten Daten durchgeführt. Nicht zuordenbare Fälle dürfen zwischen dem LGL und der AKDB abgeglichen werden.</w:t>
      </w:r>
    </w:p>
    <w:p>
      <w:r>
        <w:t xml:space="preserve">(2) Die von der AKDB übermittelten Daten werden im LGL nach Abschluss des Abgleichs, spätestens drei Monate nach Durchführung des Melderegisterabgleichs, gelöscht.</w:t>
      </w:r>
    </w:p>
    <w:p>
      <w:r>
        <w:rPr>
          <w:color w:val="555555"/>
          <w:sz w:val="17"/>
        </w:rPr>
        <w:t xml:space="preserve">Zitiervorschlag: Art 8 BayKRegG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