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BayKRegG (Bayern) — Auswertung Todesbescheinigungen</w:t>
      </w:r>
    </w:p>
    <w:p>
      <w:r>
        <w:rPr>
          <w:color w:val="555555"/>
          <w:sz w:val="18"/>
        </w:rPr>
        <w:t xml:space="preserve">Bayerisches Krebsregistergesetz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Gesundheitsämter sind verpflichtet, dem LGL Kopien aller Todesbescheinigungen und, falls erforderlich, weitere aussagekräftige Daten im Hinblick auf die Krebserkrankung zu übermitteln.</w:t>
      </w:r>
    </w:p>
    <w:p>
      <w:r>
        <w:t xml:space="preserve">(2) Bei Krebsfällen, die dem LGL nur über die Todesbescheinigung bekannt werden, ist die Vertrauensstelle berechtigt,</w:t>
      </w:r>
    </w:p>
    <w:p>
      <w:r>
        <w:t xml:space="preserve">1. von der Ärztin oder dem Arzt, die oder der die Todesbescheinigung ausgestellt hat, Auskunft über die nach Art. 4 Abs. 1 meldepflichtigen Daten und über die letztbehandelnde medizinische Einheit zu verlangen, soweit sie ihr oder ihm bekannt sind, und</w:t>
      </w:r>
    </w:p>
    <w:p>
      <w:r>
        <w:t xml:space="preserve">2. die zuletzt behandelnde medizinische Einheit zur Abgabe versäumter Meldungen nach Art. 4 Abs. 1 aufzufordern.</w:t>
      </w:r>
    </w:p>
    <w:p>
      <w:r>
        <w:t xml:space="preserve">(3) Die Kopien der Todesbescheinigungen werden im LGL nach Abschluss des Datenabgleichs vernichtet, spätestens jedoch ein Jahr nach Übermittlung.</w:t>
      </w:r>
    </w:p>
    <w:p>
      <w:r>
        <w:rPr>
          <w:color w:val="555555"/>
          <w:sz w:val="17"/>
        </w:rPr>
        <w:t xml:space="preserve">Zitiervorschlag: Art 7 BayKRegG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https://recht.nulegal.eu/gesetze/BayKRegG/7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