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BayKRegG (Bayern) — Auskunftsrecht</w:t>
      </w:r>
    </w:p>
    <w:p>
      <w:r>
        <w:rPr>
          <w:color w:val="555555"/>
          <w:sz w:val="18"/>
        </w:rPr>
        <w:t xml:space="preserve">Bayerisches Krebsregistergesetz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Jeder kann vom LGL schriftliche Auskunft zu den im Bayerischen Krebsregister gespeicherten Daten verlangen, soweit sie ihn selbst oder eine seiner Personensorge oder Betreuung unterstehende Person betreffen.</w:t>
      </w:r>
    </w:p>
    <w:p>
      <w:r>
        <w:rPr>
          <w:color w:val="555555"/>
          <w:sz w:val="17"/>
        </w:rPr>
        <w:t xml:space="preserve">Zitiervorschlag: Art 6 BayKRegG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https://recht.nulegal.eu/gesetze/BayKRegG/6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