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BayKRegG (Bayern) — Widerspruchsrecht</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kann der dauerhaften Speicherung der Identitätsdaten sowie der nach Art. 4 meldepflichtigen Daten im Bayerischen Krebsregister widersprechen, soweit sie ihn selbst oder eine seiner Personensorge oder Betreuung unterstehende Person betreffen. Diese Daten sind unverzüglich aus dem Bayerischen Krebsregister zu löschen, sobald ihre Kenntnis nicht mehr für gesetzliche Abrechnungszwecke erforderlich ist. Der Widerspruch ist schriftlich bei der Vertrauensstelle einzulegen. Er kann auch über Personen, die gemäß Art. 4 Abs. 2 Satz 3 über das Widerspruchsrecht belehrt haben, bei der Vertrauensstelle eingelegt werden. Der Widerspruch betrifft bereits erfasste Daten nach Satz 1 sowie künftig eingehende Meldungen. Unbeschadet der Löschung gemäß Satz 2 ist die Vertrauensstelle im Falle eines Widerspruchs befugt, die jeweiligen Identitätsdaten in einer gesondert zu führenden, vertraulichen Liste zu speichern und ausschließlich zu Zwecken eines Datenabgleichs mit zukünftigen Meldungen zu verwenden. Wurden Daten zu dieser Person von oder an ein anderes Landeskrebsregister gemeldet, ist dieses Landeskrebsregister über die Erhebung des Widerspruchs zu informieren.</w:t>
      </w:r>
    </w:p>
    <w:p>
      <w:r>
        <w:t xml:space="preserve">(2) Für einen inhaltlich vergleichbaren Widerspruch, der in einem Land nach dessen Landesrecht eingelegt wurde, gilt Abs. 1 entsprechend, sobald er von den dortigen Behörden der zuständigen bayerischen Stelle zur Kenntnis gebracht wurde.</w:t>
      </w:r>
    </w:p>
    <w:p>
      <w:r>
        <w:rPr>
          <w:color w:val="555555"/>
          <w:sz w:val="17"/>
        </w:rPr>
        <w:t xml:space="preserve">Zitiervorschlag: Art 5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