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BayKRegG (Bayern) — Meldepflicht, Belehrungspflicht</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Gemeldet werden muss:</w:t>
      </w:r>
    </w:p>
    <w:p>
      <w:r>
        <w:t xml:space="preserve">1. die erstmalige gesicherte Diagnose einer Krebserkrankung,</w:t>
      </w:r>
    </w:p>
    <w:p>
      <w:r>
        <w:t xml:space="preserve">2. der zu einer Krebserkrankung ergangene histologische, labortechnische oder zytologische Befund,</w:t>
      </w:r>
    </w:p>
    <w:p>
      <w:r>
        <w:t xml:space="preserve">3. die Art sowie der Zeitpunkt des Beginns und des Abschlusses einer therapeutischen Maßnahme,</w:t>
      </w:r>
    </w:p>
    <w:p>
      <w:r>
        <w:t xml:space="preserve">4. die Diagnose von Rezidiven, Metastasen und Zweittumoren und anderen Änderungen im Krankheitsverlauf,</w:t>
      </w:r>
    </w:p>
    <w:p>
      <w:r>
        <w:t xml:space="preserve">5. der Tod einer Person, die eine Krebserkrankung hatte.</w:t>
      </w:r>
    </w:p>
    <w:p>
      <w:r>
        <w:t xml:space="preserve">Die für die Patientenversorgung zuständige medizinische Einheit hat dazu den dafür vorgesehenen Teil der onkologischen Basisdaten an das LGL zu übermitteln. Die Meldung muss binnen zwei Monaten nach Bekanntwerden des meldepflichtigen Ereignisses erfolgen.</w:t>
      </w:r>
    </w:p>
    <w:p>
      <w:r>
        <w:t xml:space="preserve">(2) Die verantwortlich behandelnde medizinische Einheit, die auf Grund Abs. 1 Satz 1 Nr. 1 bis 4 erstmalig eine Meldung abgibt, hat die betroffene Person unverzüglich zu unterrichten, dass – sowie außerdem auf Verlangen welche – Daten gemeldet werden. Bei einer einwilligungsunfähigen Person ist eine personensorgeberechtigte oder eine betreuende Person zu unterrichten. Zusammen mit der Unterrichtung ist die Person über ihr Widerspruchsrecht nach Art. 5 zu belehren. Die Unterrichtung und die Belehrung dürfen nur unterbleiben, wenn die betroffene Person den Grundsätzen der ärztlichen Aufklärungspflicht entsprechend wegen der Gefahr einer andernfalls eintretenden Gesundheitsverschlechterung über das Vorliegen der Krebserkrankung nicht unterrichtet worden ist. Wird die betroffene Person nach der Übermittlung ihrer Daten über die Krebserkrankung aufgeklärt, sind die Unterrichtung und Belehrung unverzüglich nachzuholen.</w:t>
      </w:r>
    </w:p>
    <w:p>
      <w:r>
        <w:rPr>
          <w:color w:val="555555"/>
          <w:sz w:val="17"/>
        </w:rPr>
        <w:t xml:space="preserve">Zitiervorschlag: Art 4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