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BayKRegG (Bayern) — Begriffsbestimmungen</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Krebserkrankungen im Sinne dieses Gesetzes sind bösartige Neubildungen einschließlich ihrer Frühstadien, Neubildungen unsicheren oder unbekannten Verhaltens sowie gutartige Neubildungen des zentralen Nervensystems nach der Internationalen Klassifikation der Krankheiten in der jeweils vom Deutschen Institut für medizinische Dokumentation und Information im Auftrag der zuständigen obersten Bundesbehörde herausgegebenen Fassung.</w:t>
      </w:r>
    </w:p>
    <w:p>
      <w:r>
        <w:t xml:space="preserve">(2) Onkologische Basisdaten sind alle im einheitlichen onkologischen Basisdatensatz der Arbeitsgemeinschaft Deutscher Tumorzentren e.V. (ADT) und der Gesellschaft der epidemiologischen Krebsregister in Deutschland e.V. (GEKID) und ihn ergänzender Module aufgeführten Merkmale (ADT/GEKID-Datensatz).</w:t>
      </w:r>
    </w:p>
    <w:p>
      <w:r>
        <w:t xml:space="preserve">(3) Identitätsdaten sind:</w:t>
      </w:r>
    </w:p>
    <w:p>
      <w:r>
        <w:t xml:space="preserve">1. Familienname, Vornamen, frühere Namen,</w:t>
      </w:r>
    </w:p>
    <w:p>
      <w:r>
        <w:t xml:space="preserve">2. Anschriften,</w:t>
      </w:r>
    </w:p>
    <w:p>
      <w:r>
        <w:t xml:space="preserve">3. Krankenversichertennummer.</w:t>
      </w:r>
    </w:p>
    <w:p>
      <w:r>
        <w:t xml:space="preserve">(4) Medizinische Einheiten sind</w:t>
      </w:r>
    </w:p>
    <w:p>
      <w:r>
        <w:t xml:space="preserve">1. Krankenhäuser, Arzt- und Zahnarztpraxen sowie andere Einrichtungen der medizinischen Versorgung oder</w:t>
      </w:r>
    </w:p>
    <w:p>
      <w:r>
        <w:t xml:space="preserve">2. Ärztinnen und Ärzte sowie Zahnärztinnen und Zahnärzte, die nicht in einer Einrichtung nach Nr. 1 tätig sind.</w:t>
      </w:r>
    </w:p>
    <w:p>
      <w:r>
        <w:rPr>
          <w:color w:val="555555"/>
          <w:sz w:val="17"/>
        </w:rPr>
        <w:t xml:space="preserve">Zitiervorschlag: Art 3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