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BayKRegG (Bayern) — Inkrafttreten, Außerkrafttreten</w:t>
      </w:r>
    </w:p>
    <w:p>
      <w:r>
        <w:rPr>
          <w:color w:val="555555"/>
          <w:sz w:val="18"/>
        </w:rPr>
        <w:t xml:space="preserve">Bayerisches Krebsregistergesetz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April 2017 in Kraft. Abweichend von Satz 1 tritt Art. 16 am 1. Januar 2019 in Kraft.</w:t>
      </w:r>
    </w:p>
    <w:p>
      <w:r>
        <w:t xml:space="preserve">(2) Art. 17a tritt mit Ablauf des 31. Dezember 2025 außer Kraft.</w:t>
      </w:r>
    </w:p>
    <w:p>
      <w:r>
        <w:rPr>
          <w:color w:val="555555"/>
          <w:sz w:val="17"/>
        </w:rPr>
        <w:t xml:space="preserve">Zitiervorschlag: Art 18 BayKRegG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