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BayKRegG (Bayern) — Verordnungsermächtigungen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 zu regeln:</w:t>
      </w:r>
    </w:p>
    <w:p>
      <w:r>
        <w:t xml:space="preserve">1. das Verfahren zur Abrechnung der Pauschalen nach § 65c Abs. 4 SGB V und der Meldevergütungen nach § 65c Abs. 6 SGB V für Versicherte der gesetzlichen Krankenkassen sowie für Privatversicherte und für beihilfeberechtigte und berücksichtigungsfähige Personen, einschließlich der Verarbeitung personenbezogener Daten;</w:t>
      </w:r>
    </w:p>
    <w:p>
      <w:r>
        <w:t xml:space="preserve">2. Form, Inhalt und Adressat der Meldungen sowie Verfahren und Höhe der dafür etwa gewährten Entgelte;</w:t>
      </w:r>
    </w:p>
    <w:p>
      <w:r>
        <w:t xml:space="preserve">3. nähere Einzelheiten zur Datenverarbeitung und zu den eingesetzten EDV-Verfahren, insbesondere zum Verfahren der Pseudonymisierung und zur Bildung von Kontrollnummern;</w:t>
      </w:r>
    </w:p>
    <w:p>
      <w:r>
        <w:t xml:space="preserve">4. nähere Einzelheiten zum Abgleich von Daten im Rahmen von Krebsfrüherkennungsverfahren;</w:t>
      </w:r>
    </w:p>
    <w:p>
      <w:r>
        <w:t xml:space="preserve">5. die Festlegung von Vorgaben für die Nutzung von Daten durch Dritte gemäß Art. 13;</w:t>
      </w:r>
    </w:p>
    <w:p>
      <w:r>
        <w:t xml:space="preserve">6. nähere Vorgaben zu der Tätigkeit des Registerbeirates gemäß Art. 14.</w:t>
      </w:r>
    </w:p>
    <w:p>
      <w:r>
        <w:rPr>
          <w:color w:val="555555"/>
          <w:sz w:val="17"/>
        </w:rPr>
        <w:t xml:space="preserve">Zitiervorschlag: Art 17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