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BayKRegG (Bayern) — Datennutzung durch Dritte</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LGL kann Dritten auf Antrag gestatten, anonymisierte Daten zu nutzen, soweit ein berechtigtes, insbesondere wissenschaftliches Interesse glaubhaft gemacht wird, und in diesem Rahmen Daten übermitteln. In besonders begründeten Fällen kann das LGL, sofern zum Zeitpunkt der Datenübermittlung durch das LGL kein Widerspruch gemäß Art. 5 vorliegt, pseudonymisierte oder personenidentifizierende Daten an den Antragsteller übermitteln. Zweck, Umfang der Datennutzung, Kosten und Veröffentlichungsrechte sind vertraglich zu regeln.</w:t>
      </w:r>
    </w:p>
    <w:p>
      <w:r>
        <w:t xml:space="preserve">(2) Für die Übermittlung personenidentifizierender Daten ist eine Zustimmung des Staatsministeriums für Gesundheit, Pflege und Prävention (Staatsministerium) erforderlich. Das Staatsministerium darf nur für Maßnahmen des Gesundheitsschutzes und bei wichtigen und auf andere Weise nicht durchzuführenden, im öffentlichen Interesse stehenden Forschungsaufgaben der Übermittlung von medizinischen Daten mit Identitätsdaten im erforderlichen Umfang zustimmen. Vor der Zustimmung ist grundsätzlich die schriftliche Einwilligung der Patientin oder des Patienten einzuholen. Ist die Patientin oder der Patient verstorben, soll vor der Datenübermittlung die schriftliche Einwilligung eines möglichst nahestehenden Angehörigen eingeholt werden.</w:t>
      </w:r>
    </w:p>
    <w:p>
      <w:r>
        <w:t xml:space="preserve">(3) Beantragt die empfangende Stelle die Herausgabe weiterer Daten, kann das LGL, sofern zum Zeitpunkt der Datenübermittlung durch das LGL kein Widerspruch gemäß Art. 5 vorliegt, diese bei einer Stelle, die eine Meldung nach Art. 4 Abs. 1 eingereicht hat, erfragen und die erfragten Daten an die empfangende Stelle weiterleiten. Der empfangenden Stelle kann gestattet werden, Dritte im Rahmen des Forschungsvorhabens zu befragen, wenn die Erkrankten bereits verstorben sind, die Befragung für den Forschungszweck erforderlich ist und keine Anhaltspunkte über eine mögliche Verletzung von schutzwürdigen Belangen der verstorbenen Person vorliegen.</w:t>
      </w:r>
    </w:p>
    <w:p>
      <w:r>
        <w:t xml:space="preserve">(4) Die empfangende Stelle hat die Daten frühestmöglich zu pseudonymisieren. Sie hat sie zu löschen, sobald sie von einem Widerspruch gemäß Art. 5 in Kenntnis gesetzt worden ist oder sobald die Daten für die Durchführung oder Überprüfung des Vorhabens nicht mehr erforderlich sind; das LGL ist über die erfolgte Löschung zu unterrichten. Werden die Daten länger als fünf Jahre gespeichert, ist die Patientin oder der Patient darauf hinzuweisen.</w:t>
      </w:r>
    </w:p>
    <w:p>
      <w:r>
        <w:rPr>
          <w:color w:val="555555"/>
          <w:sz w:val="17"/>
        </w:rPr>
        <w:t xml:space="preserve">Zitiervorschlag: Art 13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