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BayKHV (Bayern)</w:t>
      </w:r>
    </w:p>
    <w:p>
      <w:r>
        <w:rPr>
          <w:color w:val="555555"/>
          <w:sz w:val="18"/>
        </w:rPr>
        <w:t xml:space="preserve">Bayerische Kommunikationshilfenverordnung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11 Abs. 2 des Bayerischen Gesetzes zur Gleichstellung, Integration und Teilhabe von Menschen mit Behinderung (Bayerisches Behindertengleichstellungsgesetz – BayBGG) vom 9. Juli 2003 (GVBl S. 419, BayRS 805-9-A) erlässt die Bayerische Staatsregierung folgende Verordnung:</w:t>
      </w:r>
    </w:p>
    <w:p>
      <w:r>
        <w:rPr>
          <w:color w:val="555555"/>
          <w:sz w:val="17"/>
        </w:rPr>
        <w:t xml:space="preserve">Zitiervorschlag: Eingangsformel BayKHV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