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BayKHV (Bayern) — Anwendungsbereich</w:t>
      </w:r>
    </w:p>
    <w:p>
      <w:r>
        <w:rPr>
          <w:color w:val="555555"/>
          <w:sz w:val="18"/>
        </w:rPr>
        <w:t xml:space="preserve">Bayerische Kommunikationshilfenverordnung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Verordnung gilt für alle hör- oder sprachbehinderten Personen, die Beteiligte eines Verwaltungsverfahrens sind, sowie für hör- oder sprachbehinderte Eltern nicht hör- oder sprachbehinderter Kinder bei der Kommunikation mit Kindertageseinrichtungen, Tagespflegestellen und Schulen (Berechtigte).</w:t>
      </w:r>
    </w:p>
    <w:p>
      <w:r>
        <w:t xml:space="preserve">(2) Der Anspruch auf Kommunikation gemäß Art. 11 Abs. 1 Sätze 1 und 2 BayBGG besteht gegenüber jedem Träger öffentlicher Gewalt im Sinn des Art. 9 Abs. 1 Satz 1 BayBGG und gegenüber den Staatsanwaltschaften, soweit diese ein Verwaltungsverfahren durchführen (Verpflichtete). Für die Erstattung nach Art. 11 Abs. 1 Satz 3 BayBGG sind die überörtlichen Träger der Sozialhilfe, in deren Bezirk der Antragsteller seinen gewöhnlichen Aufenthalt hat, zuständig.</w:t>
      </w:r>
    </w:p>
    <w:p>
      <w:r>
        <w:rPr>
          <w:color w:val="555555"/>
          <w:sz w:val="17"/>
        </w:rPr>
        <w:t xml:space="preserve">Zitiervorschlag: § 1 BayKHV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https://recht.nulegal.eu/gesetze/BayKHV/1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