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BayJG (Bayern) — Inkrafttreten; Aufhebung von Vorschriften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1979 in Kraft.</w:t>
      </w:r>
    </w:p>
    <w:p>
      <w:r>
        <w:t xml:space="preserve">(2) Das Gesetz über das Verfahren in Wild- und Jagdschadenssachen vom 12. August 1953 (BayBS IV S. 575) tritt mit Inkrafttreten der Rechtsverordnung nach Art. 47 Nr. 3 außer Kraft.</w:t>
      </w:r>
    </w:p>
    <w:p>
      <w:r>
        <w:rPr>
          <w:color w:val="555555"/>
          <w:sz w:val="17"/>
        </w:rPr>
        <w:t xml:space="preserve">Zitiervorschlag: Art 64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