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59 BayJG (Bayern) — Enteignende Maßnahmen</w:t>
      </w:r>
    </w:p>
    <w:p>
      <w:r>
        <w:rPr>
          <w:color w:val="555555"/>
          <w:sz w:val="18"/>
        </w:rPr>
        <w:t xml:space="preserve">Bayerisches Jagdgesetz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Hat eine Behörde auf Grund dieses Gesetzes eine Maßnahme getroffen, die eine Enteignung darstellt oder einer solchen gleichkommt, insbesondere weil sie eine wesentliche Nutzungsbeschränkung darstellt, so ist dem Eigentümer oder dem sonstigen Berechtigten nach den Vorschriften des Bayerischen Gesetzes über die entschädigungspflichtige Enteignung Entschädigung in Geld zu leisten.</w:t>
      </w:r>
    </w:p>
    <w:p>
      <w:r>
        <w:t xml:space="preserve">(2) Der Grundstückseigentümer kann verlangen, daß der Entschädigungspflichtige das Grundstück übernimmt, soweit es ihm infolge der enteignenden Maßnahme wirtschaftlich nicht mehr zumutbar ist, das Grundstück zu behalten oder es in der bisherigen oder in einer anderen zulässigen Art zu nutzen. Kommt eine Einigung über die Übernahme des Grundstücks nicht zustande, kann der Eigentümer das Enteignungsverfahren beantragen; im übrigen gelten die Vorschriften des Bayerischen Gesetzes über die entschädigungspflichtige Enteignung sinngemäß.</w:t>
      </w:r>
    </w:p>
    <w:p>
      <w:r>
        <w:t xml:space="preserve">[Amtl. Anm.:] BayRS 2141-1-I</w:t>
      </w:r>
    </w:p>
    <w:p>
      <w:r>
        <w:rPr>
          <w:color w:val="555555"/>
          <w:sz w:val="17"/>
        </w:rPr>
        <w:t xml:space="preserve">Zitiervorschlag: Art 59 BayJG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https://recht.nulegal.eu/gesetze/BayJG/59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