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47a BayJG (Bayern) — Verfahren in Wild- und Jagdschadenssachen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Wild- und Jagdschäden können im ordentlichen Rechtsweg erst geltend gemacht werden, wenn das Vorverfahren nach § 35 BJagdG stattgefunden hat. Das Vorverfahren führt die Gemeinde im eigenen Wirkungskreis durch; im Fall ihrer Beteiligung die Rechtsaufsichtsbehörde. Verspätet angemeldete Ansprüche oder wegen Fehlens eines ersatzfähigen Wild- oder Jagdschadens offensichtlich unbegründete Anträge sind zurückzuweisen. Im Übrigen wird das Vorverfahren mit der Niederschrift über die gütliche Einigung oder, wenn eine solche nicht erreicht wird, mit dem Erlass des Vorbescheids abgeschlossen. Gegen den Zurückweisungs- oder Vorbescheid kann binnen einer Notfrist von vier Wochen nach Zustellung Klage vor den ordentlichen Gerichten erhoben werden. § 23 des Gerichtsverfassungsgesetzes findet Anwendung.</w:t>
      </w:r>
    </w:p>
    <w:p>
      <w:r>
        <w:t xml:space="preserve">(2) Die oberste Jagdbehörde wird ermächtigt, durch Rechtsverordnung im Einvernehmen mit dem Staatsministerium für Ernährung, Landwirtschaft, Forsten und Tourismus die Einzelheiten der Anmeldung (§ 34 BJagdG) und des Vorverfahrens zu regeln, einschließlich der Kostentragung und der Zwangsvollstreckung aus der Niederschrift über die gütliche Einigung oder aus dem Vorbescheid.</w:t>
      </w:r>
    </w:p>
    <w:p>
      <w:r>
        <w:rPr>
          <w:color w:val="555555"/>
          <w:sz w:val="17"/>
        </w:rPr>
        <w:t xml:space="preserve">Zitiervorschlag: Art 47a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https://recht.nulegal.eu/gesetze/BayJG/47a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