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BayJG (Bayern) — Ermächtigungen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oberste Jagdbehörde wird ermächtigt, durch Rechtsverordnung im Einvernehmen mit dem Staatsministerium für Ernährung, Landwirtschaft, Forsten und Tourismus</w:t>
      </w:r>
    </w:p>
    <w:p>
      <w:r>
        <w:t xml:space="preserve">1. im Rahmen des § 29 Abs. 4 BJagdG die Wildschadensersatzpflicht auf andere Wildarten auszudehnen,</w:t>
      </w:r>
    </w:p>
    <w:p>
      <w:r>
        <w:t xml:space="preserve">2. Bestimmungen über die Verpflichtung zur Leistung von Wildschadensersatz in den Fällen des § 32 Abs. 2 Satz 1 BJagdG zu erlassen, soweit sie zur Vermeidung unzumutbarer Wildschäden in der Land- und Forstwirtschaft unerläßlich sind, sowie darüber zu erlassen, welche Schutzvorrichtungen als üblich anzusehen sind (§ 32 Abs. 2 Satz 2 BJagdG),</w:t>
      </w:r>
    </w:p>
    <w:p>
      <w:r>
        <w:t xml:space="preserve">3. Vorschriften über die Erhebung von Daten über die Wildschadenssituation (Art, Ausmaß und regionale Verteilung der Wildschäden) und über geleistete Wildschadensbeträge zu erlassen.</w:t>
      </w:r>
    </w:p>
    <w:p>
      <w:r>
        <w:rPr>
          <w:color w:val="555555"/>
          <w:sz w:val="17"/>
        </w:rPr>
        <w:t xml:space="preserve">Zitiervorschlag: Art 47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