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BayJG (Bayern) — Aufgaben und Befugnisse der Jagdschutzberechtigten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zur Ausübung des Jagdschutzes berechtigten Personen sind befugt,</w:t>
      </w:r>
    </w:p>
    <w:p>
      <w:r>
        <w:t xml:space="preserve">1. Personen, die in einem Jagdrevier unberechtigt jagen oder eine sonstige Zuwiderhandlung gegen jagdrechtliche Vorschriften begehen oder außerhalb der zum allgemeinen Gebrauch bestimmten Wege ohne Berechtigung hierzu zur Jagd ausgerüstet angetroffen werden, zur Feststellung ihrer Personalien anzuhalten und ihnen gefangenes oder erlegtes Wild, Waffen, Jagd- und Fanggeräte, Hunde und Frettchen sowie Beizvögel abzunehmen,</w:t>
      </w:r>
    </w:p>
    <w:p>
      <w:r>
        <w:t xml:space="preserve">2. wildernde Hunde und Katzen zu töten. Hunde gelten als wildernd, wenn sie im Jagdrevier erkennbar dem Wild nachstellen und dieses gefährden können. Katzen gelten als wildernd, wenn sie im Jagdrevier in einer Entfernung von mehr als 300 Meter vom nächsten bewohnten Gebäude angetroffen werden. Diese Befugnis erstreckt sich auch auf solche Katzen, die sich in Fallen gefangen haben, die in einer Entfernung von mehr als 300 Meter vom nächsten bewohnten Gebäude aufgestellt worden sind. Sie gilt nicht gegenüber Jagd-, Dienst-, Blinden- und Hirtenhunden, soweit sie als solche kenntlich sind und solange sie von der führenden Person zu ihrem Dienst verwendet werden oder sich aus Anlaß des Dienstes ihrer Einwirkung entzogen haben sowie gegenüber in Fallen gefangenen Katzen, deren Besitzer eindeutig und für den Jagdschutzberechtigten in zumutbarer Weise festgestellt werden können.</w:t>
      </w:r>
    </w:p>
    <w:p>
      <w:r>
        <w:t xml:space="preserve">(2) Soweit der Revierinhaber einem Jagdgast nach Art. 41 Abs. 4 die Ausübung des Jagdschutzes übertragen hat, stehen diesem die Befugnisse nach Abs. 1 Nr. 2 ebenfalls zu.</w:t>
      </w:r>
    </w:p>
    <w:p>
      <w:r>
        <w:t xml:space="preserve">(3) Die bestätigten Jagdaufseher, die Berufsjäger oder forstlich ausgebildet sind, haben die Aufgaben und Befugnisse der Naturschutzwacht.</w:t>
      </w:r>
    </w:p>
    <w:p>
      <w:r>
        <w:rPr>
          <w:color w:val="555555"/>
          <w:sz w:val="17"/>
        </w:rPr>
        <w:t xml:space="preserve">Zitiervorschlag: Art 42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