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BayJG (Bayern) — Verwendung von Jagdhunden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jeder Such-, Drück-, Riegel- und Treibjagd sowie bei jeder Jagdart auf Wasserwild sind brauchbare Jagdhunde in genügender Zahl zu verwenden. Auch der bei einer anderen Jagdart zur Nachsuche verwendete Hund muß brauchbar sein.</w:t>
      </w:r>
    </w:p>
    <w:p>
      <w:r>
        <w:t xml:space="preserve">(2) Die Jagdbehörde kann dem Revierinhaber die Verpflichtung zur Haltung eines zur Nachsuche brauchbaren Jagdhunds auferlegen.</w:t>
      </w:r>
    </w:p>
    <w:p>
      <w:r>
        <w:t xml:space="preserve">(3) Die oberste Jagdbehörde wird ermächtigt, durch Rechtsverordnung Vorschriften über die Feststellung der Brauchbarkeit von Jagdhunden zu erlassen und hierbei Prüfungen vorzuschreiben sowie ihre Durchführung und die Prüfungszulassung zu regeln; mit der Durchführung von Brauchbarkeitsprüfungen und der Feststellung der Brauchbarkeit von Jagdhunden können die anerkannten Vereinigungen der Jäger (Art. 51) betraut werden.</w:t>
      </w:r>
    </w:p>
    <w:p>
      <w:r>
        <w:rPr>
          <w:color w:val="555555"/>
          <w:sz w:val="17"/>
        </w:rPr>
        <w:t xml:space="preserve">Zitiervorschlag: Art 39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