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BayJG (Bayern) — Aussetzen von Tierarten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Als fremd im Sinn des § 28 Abs. 3 BJagdG gelten Tierarten, die im Geltungsbereich des Bundesjagdgesetzes bei dessen Inkrafttreten (1. April 1953) freilebend nicht heimisch waren.</w:t>
      </w:r>
    </w:p>
    <w:p>
      <w:r>
        <w:t xml:space="preserve">(2) Das Aussetzen oder das Ansiedeln fremder Tierarten in der freien Natur ist nur mit vorheriger schriftlicher Genehmigung der Jagdbehörde zulässig. Die Genehmigung darf nur erteilt werden, wenn durch das Aussetzen oder das Ansiedeln eine Störung des biologischen Gleichgewichts oder eine Schädigung der Landeskultur oder Gefahren für die öffentliche Sicherheit nicht zu befürchten sind.</w:t>
      </w:r>
    </w:p>
    <w:p>
      <w:r>
        <w:t xml:space="preserve">(3) Die oberste Jagdbehörde wird ermächtigt, durch Rechtsverordnung das Hegen oder Aussetzen weiterer Tierarten im Sinn von § 28 Abs. 4 BJagdG, die dem Jagdrecht unterliegen, aus den in Abs. 2 Satz 2 genannten Gründen zu beschränken oder zu verbieten.</w:t>
      </w:r>
    </w:p>
    <w:p>
      <w:r>
        <w:rPr>
          <w:color w:val="555555"/>
          <w:sz w:val="17"/>
        </w:rPr>
        <w:t xml:space="preserve">Zitiervorschlag: Art 34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