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BayJG (Bayern) — Mittel und Gegenstand der Förderung</w:t>
      </w:r>
    </w:p>
    <w:p>
      <w:r>
        <w:rPr>
          <w:color w:val="555555"/>
          <w:sz w:val="18"/>
        </w:rPr>
        <w:t xml:space="preserve">Bayerisches Jagdgesetz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der Gebühr für den Jagdschein wird vom Jagdscheininhaber eine Jagdabgabe erhoben, die von der obersten Jagdbehörde zur Förderung des Jagdwesens zu verwenden ist. Gefördert sollen insbesondere werden:</w:t>
      </w:r>
    </w:p>
    <w:p>
      <w:r>
        <w:t xml:space="preserve">1. Maßnahmen zur Erhaltung und Verbesserung der Lebensgrundlagen des Wildes,</w:t>
      </w:r>
    </w:p>
    <w:p>
      <w:r>
        <w:t xml:space="preserve">2. Erforschung der Lebens- und Umweltbedingungen der Wildarten,</w:t>
      </w:r>
    </w:p>
    <w:p>
      <w:r>
        <w:t xml:space="preserve">3. Erforschung von Möglichkeiten zur Verhütung und Verhinderung von Wildschäden in der Land-, Forst- und Fischereiwirtschaft,</w:t>
      </w:r>
    </w:p>
    <w:p>
      <w:r>
        <w:t xml:space="preserve">4. das Berufsjägerwesen,</w:t>
      </w:r>
    </w:p>
    <w:p>
      <w:r>
        <w:t xml:space="preserve">5. die Errichtung und der Betrieb von Muster- und Lehrrevieren sowie sonstige Maßnahmen und Einrichtungen zur Information und Aus- und Fortbildung der Jäger, der Jagdvorsteher sowie der für den Vollzug der jagdrechtlichen Vorschriften zuständigen Organe.</w:t>
      </w:r>
    </w:p>
    <w:p>
      <w:r>
        <w:t xml:space="preserve">(2) Die Höhe der Jagdabgabe beträgt für den Tagesjagdschein und den Einjahresjagdschein die Hälfte der Jagdscheingebühr. Für den Dreijahresjagdschein wird der dreifache Betrag der Jagdabgabe für den Einjahresjagdschein erhoben.</w:t>
      </w:r>
    </w:p>
    <w:p>
      <w:r>
        <w:rPr>
          <w:color w:val="555555"/>
          <w:sz w:val="17"/>
        </w:rPr>
        <w:t xml:space="preserve">Zitiervorschlag: Art 26 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https://recht.nulegal.eu/gesetze/BayJG/26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